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FC9" w:rsidRDefault="00072FC9" w:rsidP="00072FC9">
      <w:pPr>
        <w:jc w:val="center"/>
        <w:rPr>
          <w:b/>
        </w:rPr>
      </w:pPr>
      <w:r>
        <w:rPr>
          <w:b/>
        </w:rPr>
        <w:t>RECOVERY Trial</w:t>
      </w:r>
    </w:p>
    <w:p w:rsidR="00072FC9" w:rsidRPr="00072FC9" w:rsidRDefault="00072FC9" w:rsidP="00072FC9">
      <w:pPr>
        <w:jc w:val="center"/>
        <w:rPr>
          <w:b/>
        </w:rPr>
      </w:pPr>
      <w:r>
        <w:rPr>
          <w:b/>
        </w:rPr>
        <w:t>Justification of aspirin dose selection for pregnant women</w:t>
      </w:r>
    </w:p>
    <w:p w:rsidR="00072FC9" w:rsidRDefault="00072FC9" w:rsidP="00072FC9"/>
    <w:p w:rsidR="00072FC9" w:rsidRDefault="00072FC9" w:rsidP="00072FC9">
      <w:r>
        <w:t>Aspirin is widely used for the prevention of pre-eclampsia in pregnant women at increased risk of the disease. A recent Cochrane meta-analysis on this topic (</w:t>
      </w:r>
      <w:proofErr w:type="spellStart"/>
      <w:r>
        <w:t>Duley</w:t>
      </w:r>
      <w:proofErr w:type="spellEnd"/>
      <w:r>
        <w:t xml:space="preserve"> et al 2019) included seventy-seven trials (40,249 women) taking aspirin at doses between 60 and 150mg daily. In most trials, aspirin was started from 12 weeks’ gestation, although a more recent meta-analysis has reported eight trials (1426 women) in which aspirin was initiated in the first trimester (</w:t>
      </w:r>
      <w:proofErr w:type="spellStart"/>
      <w:r>
        <w:t>Chaemsaithong</w:t>
      </w:r>
      <w:proofErr w:type="spellEnd"/>
      <w:r>
        <w:t xml:space="preserve"> et al 2020). In light of the clear evidence of effectiveness, 75-150mg aspirin is recommended for pre-eclampsia prophylaxis in NICE guidelines for management of hypertension in pregnancy (NG133), and in the NHS England document ‘Saving Babies’ Lives (version 2) for women at increased risk of placental dysfunction disorders. There is some ongoing uncertainty as to the optimal dose (75mg vs. 150mg) for pre-eclampsia prophylaxis, but both doses are in widespread clinical use in pregnancy in the UK for these indications and in other conditions (e.g. in pregnant women with antiphospholipid syndrome). </w:t>
      </w:r>
    </w:p>
    <w:p w:rsidR="00072FC9" w:rsidRDefault="00072FC9" w:rsidP="00072FC9"/>
    <w:p w:rsidR="00072FC9" w:rsidRDefault="00072FC9" w:rsidP="00072FC9"/>
    <w:p w:rsidR="00072FC9" w:rsidRPr="00072FC9" w:rsidRDefault="00072FC9" w:rsidP="00072FC9">
      <w:pPr>
        <w:rPr>
          <w:rStyle w:val="docsum-authors"/>
          <w:rFonts w:asciiTheme="minorHAnsi" w:hAnsiTheme="minorHAnsi" w:cstheme="minorHAnsi"/>
          <w:color w:val="212121"/>
        </w:rPr>
      </w:pPr>
      <w:r w:rsidRPr="00072FC9">
        <w:rPr>
          <w:rStyle w:val="docsum-authors"/>
          <w:rFonts w:asciiTheme="minorHAnsi" w:hAnsiTheme="minorHAnsi" w:cstheme="minorHAnsi"/>
          <w:color w:val="212121"/>
        </w:rPr>
        <w:t>References:</w:t>
      </w:r>
      <w:bookmarkStart w:id="0" w:name="_GoBack"/>
      <w:bookmarkEnd w:id="0"/>
    </w:p>
    <w:p w:rsidR="00072FC9" w:rsidRPr="00072FC9" w:rsidRDefault="00072FC9" w:rsidP="00072FC9">
      <w:pPr>
        <w:rPr>
          <w:rFonts w:asciiTheme="minorHAnsi" w:hAnsiTheme="minorHAnsi" w:cstheme="minorHAnsi"/>
          <w:lang w:eastAsia="en-GB"/>
        </w:rPr>
      </w:pPr>
      <w:proofErr w:type="spellStart"/>
      <w:r w:rsidRPr="00072FC9">
        <w:rPr>
          <w:rStyle w:val="docsum-authors"/>
          <w:rFonts w:asciiTheme="minorHAnsi" w:hAnsiTheme="minorHAnsi" w:cstheme="minorHAnsi"/>
        </w:rPr>
        <w:t>Duley</w:t>
      </w:r>
      <w:proofErr w:type="spellEnd"/>
      <w:r w:rsidRPr="00072FC9">
        <w:rPr>
          <w:rStyle w:val="docsum-authors"/>
          <w:rFonts w:asciiTheme="minorHAnsi" w:hAnsiTheme="minorHAnsi" w:cstheme="minorHAnsi"/>
        </w:rPr>
        <w:t xml:space="preserve"> L, </w:t>
      </w:r>
      <w:proofErr w:type="spellStart"/>
      <w:r w:rsidRPr="00072FC9">
        <w:rPr>
          <w:rStyle w:val="docsum-authors"/>
          <w:rFonts w:asciiTheme="minorHAnsi" w:hAnsiTheme="minorHAnsi" w:cstheme="minorHAnsi"/>
        </w:rPr>
        <w:t>Meher</w:t>
      </w:r>
      <w:proofErr w:type="spellEnd"/>
      <w:r w:rsidRPr="00072FC9">
        <w:rPr>
          <w:rStyle w:val="docsum-authors"/>
          <w:rFonts w:asciiTheme="minorHAnsi" w:hAnsiTheme="minorHAnsi" w:cstheme="minorHAnsi"/>
        </w:rPr>
        <w:t xml:space="preserve"> S, Hunter KE, </w:t>
      </w:r>
      <w:proofErr w:type="spellStart"/>
      <w:r w:rsidRPr="00072FC9">
        <w:rPr>
          <w:rStyle w:val="docsum-authors"/>
          <w:rFonts w:asciiTheme="minorHAnsi" w:hAnsiTheme="minorHAnsi" w:cstheme="minorHAnsi"/>
        </w:rPr>
        <w:t>Seidler</w:t>
      </w:r>
      <w:proofErr w:type="spellEnd"/>
      <w:r w:rsidRPr="00072FC9">
        <w:rPr>
          <w:rStyle w:val="docsum-authors"/>
          <w:rFonts w:asciiTheme="minorHAnsi" w:hAnsiTheme="minorHAnsi" w:cstheme="minorHAnsi"/>
        </w:rPr>
        <w:t xml:space="preserve"> AL, </w:t>
      </w:r>
      <w:proofErr w:type="spellStart"/>
      <w:r w:rsidRPr="00072FC9">
        <w:rPr>
          <w:rStyle w:val="docsum-authors"/>
          <w:rFonts w:asciiTheme="minorHAnsi" w:hAnsiTheme="minorHAnsi" w:cstheme="minorHAnsi"/>
        </w:rPr>
        <w:t>Askie</w:t>
      </w:r>
      <w:proofErr w:type="spellEnd"/>
      <w:r w:rsidRPr="00072FC9">
        <w:rPr>
          <w:rStyle w:val="docsum-authors"/>
          <w:rFonts w:asciiTheme="minorHAnsi" w:hAnsiTheme="minorHAnsi" w:cstheme="minorHAnsi"/>
        </w:rPr>
        <w:t xml:space="preserve"> LM. </w:t>
      </w:r>
      <w:hyperlink r:id="rId6" w:history="1">
        <w:r w:rsidRPr="00072FC9">
          <w:rPr>
            <w:rStyle w:val="Hyperlink"/>
            <w:rFonts w:asciiTheme="minorHAnsi" w:hAnsiTheme="minorHAnsi" w:cstheme="minorHAnsi"/>
            <w:color w:val="auto"/>
            <w:u w:val="none"/>
            <w:shd w:val="clear" w:color="auto" w:fill="FFFFFF"/>
          </w:rPr>
          <w:t>Antiplatelet agents for preventing </w:t>
        </w:r>
        <w:r w:rsidRPr="00072FC9">
          <w:rPr>
            <w:rStyle w:val="Hyperlink"/>
            <w:rFonts w:asciiTheme="minorHAnsi" w:hAnsiTheme="minorHAnsi" w:cstheme="minorHAnsi"/>
            <w:bCs/>
            <w:color w:val="auto"/>
            <w:u w:val="none"/>
            <w:shd w:val="clear" w:color="auto" w:fill="FFFFFF"/>
          </w:rPr>
          <w:t>pre</w:t>
        </w:r>
        <w:r w:rsidRPr="00072FC9">
          <w:rPr>
            <w:rStyle w:val="Hyperlink"/>
            <w:rFonts w:asciiTheme="minorHAnsi" w:hAnsiTheme="minorHAnsi" w:cstheme="minorHAnsi"/>
            <w:color w:val="auto"/>
            <w:u w:val="none"/>
            <w:shd w:val="clear" w:color="auto" w:fill="FFFFFF"/>
          </w:rPr>
          <w:t>-</w:t>
        </w:r>
        <w:r w:rsidRPr="00072FC9">
          <w:rPr>
            <w:rStyle w:val="Hyperlink"/>
            <w:rFonts w:asciiTheme="minorHAnsi" w:hAnsiTheme="minorHAnsi" w:cstheme="minorHAnsi"/>
            <w:bCs/>
            <w:color w:val="auto"/>
            <w:u w:val="none"/>
            <w:shd w:val="clear" w:color="auto" w:fill="FFFFFF"/>
          </w:rPr>
          <w:t>eclampsia</w:t>
        </w:r>
        <w:r w:rsidRPr="00072FC9">
          <w:rPr>
            <w:rStyle w:val="Hyperlink"/>
            <w:rFonts w:asciiTheme="minorHAnsi" w:hAnsiTheme="minorHAnsi" w:cstheme="minorHAnsi"/>
            <w:color w:val="auto"/>
            <w:u w:val="none"/>
            <w:shd w:val="clear" w:color="auto" w:fill="FFFFFF"/>
          </w:rPr>
          <w:t> and its complications.</w:t>
        </w:r>
      </w:hyperlink>
    </w:p>
    <w:p w:rsidR="00072FC9" w:rsidRPr="00072FC9" w:rsidRDefault="00072FC9" w:rsidP="00072FC9">
      <w:pPr>
        <w:shd w:val="clear" w:color="auto" w:fill="FFFFFF"/>
        <w:rPr>
          <w:rFonts w:asciiTheme="minorHAnsi" w:hAnsiTheme="minorHAnsi" w:cstheme="minorHAnsi"/>
        </w:rPr>
      </w:pPr>
      <w:r w:rsidRPr="00072FC9">
        <w:rPr>
          <w:rStyle w:val="docsum-journal-citation"/>
          <w:rFonts w:asciiTheme="minorHAnsi" w:hAnsiTheme="minorHAnsi" w:cstheme="minorHAnsi"/>
        </w:rPr>
        <w:t xml:space="preserve">Cochrane Database </w:t>
      </w:r>
      <w:proofErr w:type="spellStart"/>
      <w:r w:rsidRPr="00072FC9">
        <w:rPr>
          <w:rStyle w:val="docsum-journal-citation"/>
          <w:rFonts w:asciiTheme="minorHAnsi" w:hAnsiTheme="minorHAnsi" w:cstheme="minorHAnsi"/>
        </w:rPr>
        <w:t>Syst</w:t>
      </w:r>
      <w:proofErr w:type="spellEnd"/>
      <w:r w:rsidRPr="00072FC9">
        <w:rPr>
          <w:rStyle w:val="docsum-journal-citation"/>
          <w:rFonts w:asciiTheme="minorHAnsi" w:hAnsiTheme="minorHAnsi" w:cstheme="minorHAnsi"/>
        </w:rPr>
        <w:t xml:space="preserve"> Rev. 2019 Oct 30</w:t>
      </w:r>
      <w:proofErr w:type="gramStart"/>
      <w:r w:rsidRPr="00072FC9">
        <w:rPr>
          <w:rStyle w:val="docsum-journal-citation"/>
          <w:rFonts w:asciiTheme="minorHAnsi" w:hAnsiTheme="minorHAnsi" w:cstheme="minorHAnsi"/>
        </w:rPr>
        <w:t>;2019</w:t>
      </w:r>
      <w:proofErr w:type="gramEnd"/>
      <w:r w:rsidRPr="00072FC9">
        <w:rPr>
          <w:rStyle w:val="docsum-journal-citation"/>
          <w:rFonts w:asciiTheme="minorHAnsi" w:hAnsiTheme="minorHAnsi" w:cstheme="minorHAnsi"/>
        </w:rPr>
        <w:t xml:space="preserve">(10):CD004659. </w:t>
      </w:r>
      <w:proofErr w:type="spellStart"/>
      <w:proofErr w:type="gramStart"/>
      <w:r w:rsidRPr="00072FC9">
        <w:rPr>
          <w:rStyle w:val="docsum-journal-citation"/>
          <w:rFonts w:asciiTheme="minorHAnsi" w:hAnsiTheme="minorHAnsi" w:cstheme="minorHAnsi"/>
        </w:rPr>
        <w:t>doi</w:t>
      </w:r>
      <w:proofErr w:type="spellEnd"/>
      <w:proofErr w:type="gramEnd"/>
      <w:r w:rsidRPr="00072FC9">
        <w:rPr>
          <w:rStyle w:val="docsum-journal-citation"/>
          <w:rFonts w:asciiTheme="minorHAnsi" w:hAnsiTheme="minorHAnsi" w:cstheme="minorHAnsi"/>
        </w:rPr>
        <w:t>: 10.1002/14651858.CD004659.pub3.</w:t>
      </w:r>
      <w:r w:rsidRPr="00072FC9">
        <w:rPr>
          <w:rStyle w:val="citation-part"/>
          <w:rFonts w:asciiTheme="minorHAnsi" w:hAnsiTheme="minorHAnsi" w:cstheme="minorHAnsi"/>
        </w:rPr>
        <w:t>PMID: </w:t>
      </w:r>
      <w:r w:rsidRPr="00072FC9">
        <w:rPr>
          <w:rStyle w:val="docsum-pmid"/>
          <w:rFonts w:asciiTheme="minorHAnsi" w:hAnsiTheme="minorHAnsi" w:cstheme="minorHAnsi"/>
        </w:rPr>
        <w:t>31684684</w:t>
      </w:r>
    </w:p>
    <w:p w:rsidR="00072FC9" w:rsidRPr="00072FC9" w:rsidRDefault="00072FC9" w:rsidP="00072FC9">
      <w:pPr>
        <w:rPr>
          <w:rStyle w:val="docsum-authors"/>
          <w:rFonts w:asciiTheme="minorHAnsi" w:hAnsiTheme="minorHAnsi" w:cstheme="minorHAnsi"/>
        </w:rPr>
      </w:pPr>
    </w:p>
    <w:p w:rsidR="00072FC9" w:rsidRPr="00072FC9" w:rsidRDefault="00072FC9" w:rsidP="00072FC9">
      <w:pPr>
        <w:rPr>
          <w:rFonts w:asciiTheme="minorHAnsi" w:hAnsiTheme="minorHAnsi" w:cstheme="minorHAnsi"/>
        </w:rPr>
      </w:pPr>
      <w:proofErr w:type="spellStart"/>
      <w:r w:rsidRPr="00072FC9">
        <w:rPr>
          <w:rStyle w:val="docsum-authors"/>
          <w:rFonts w:asciiTheme="minorHAnsi" w:hAnsiTheme="minorHAnsi" w:cstheme="minorHAnsi"/>
        </w:rPr>
        <w:t>Chaemsaithong</w:t>
      </w:r>
      <w:proofErr w:type="spellEnd"/>
      <w:r w:rsidRPr="00072FC9">
        <w:rPr>
          <w:rStyle w:val="docsum-authors"/>
          <w:rFonts w:asciiTheme="minorHAnsi" w:hAnsiTheme="minorHAnsi" w:cstheme="minorHAnsi"/>
        </w:rPr>
        <w:t xml:space="preserve"> P, Cuenca-Gomez D, Plana MN, Gil MM, Poon LC.</w:t>
      </w:r>
      <w:r w:rsidRPr="00072FC9">
        <w:rPr>
          <w:rFonts w:asciiTheme="minorHAnsi" w:hAnsiTheme="minorHAnsi" w:cstheme="minorHAnsi"/>
        </w:rPr>
        <w:t xml:space="preserve"> </w:t>
      </w:r>
      <w:hyperlink r:id="rId7" w:history="1">
        <w:r w:rsidRPr="00072FC9">
          <w:rPr>
            <w:rStyle w:val="Hyperlink"/>
            <w:rFonts w:asciiTheme="minorHAnsi" w:hAnsiTheme="minorHAnsi" w:cstheme="minorHAnsi"/>
            <w:color w:val="auto"/>
            <w:u w:val="none"/>
            <w:shd w:val="clear" w:color="auto" w:fill="FFFFFF"/>
          </w:rPr>
          <w:t>Does low-dose </w:t>
        </w:r>
        <w:r w:rsidRPr="00072FC9">
          <w:rPr>
            <w:rStyle w:val="Hyperlink"/>
            <w:rFonts w:asciiTheme="minorHAnsi" w:hAnsiTheme="minorHAnsi" w:cstheme="minorHAnsi"/>
            <w:bCs/>
            <w:color w:val="auto"/>
            <w:u w:val="none"/>
            <w:shd w:val="clear" w:color="auto" w:fill="FFFFFF"/>
          </w:rPr>
          <w:t>aspirin</w:t>
        </w:r>
        <w:r w:rsidRPr="00072FC9">
          <w:rPr>
            <w:rStyle w:val="Hyperlink"/>
            <w:rFonts w:asciiTheme="minorHAnsi" w:hAnsiTheme="minorHAnsi" w:cstheme="minorHAnsi"/>
            <w:color w:val="auto"/>
            <w:u w:val="none"/>
            <w:shd w:val="clear" w:color="auto" w:fill="FFFFFF"/>
          </w:rPr>
          <w:t> initiated before 11 weeks' gestation reduce the rate of preeclampsia?</w:t>
        </w:r>
      </w:hyperlink>
      <w:r w:rsidRPr="00072FC9">
        <w:rPr>
          <w:rFonts w:asciiTheme="minorHAnsi" w:hAnsiTheme="minorHAnsi" w:cstheme="minorHAnsi"/>
        </w:rPr>
        <w:t xml:space="preserve"> </w:t>
      </w:r>
      <w:r w:rsidRPr="00072FC9">
        <w:rPr>
          <w:rStyle w:val="docsum-journal-citation"/>
          <w:rFonts w:asciiTheme="minorHAnsi" w:hAnsiTheme="minorHAnsi" w:cstheme="minorHAnsi"/>
        </w:rPr>
        <w:t xml:space="preserve">Am J </w:t>
      </w:r>
      <w:proofErr w:type="spellStart"/>
      <w:r w:rsidRPr="00072FC9">
        <w:rPr>
          <w:rStyle w:val="docsum-journal-citation"/>
          <w:rFonts w:asciiTheme="minorHAnsi" w:hAnsiTheme="minorHAnsi" w:cstheme="minorHAnsi"/>
        </w:rPr>
        <w:t>Obstet</w:t>
      </w:r>
      <w:proofErr w:type="spellEnd"/>
      <w:r w:rsidRPr="00072FC9">
        <w:rPr>
          <w:rStyle w:val="docsum-journal-citation"/>
          <w:rFonts w:asciiTheme="minorHAnsi" w:hAnsiTheme="minorHAnsi" w:cstheme="minorHAnsi"/>
        </w:rPr>
        <w:t xml:space="preserve"> Gynecol. 2020 May</w:t>
      </w:r>
      <w:proofErr w:type="gramStart"/>
      <w:r w:rsidRPr="00072FC9">
        <w:rPr>
          <w:rStyle w:val="docsum-journal-citation"/>
          <w:rFonts w:asciiTheme="minorHAnsi" w:hAnsiTheme="minorHAnsi" w:cstheme="minorHAnsi"/>
        </w:rPr>
        <w:t>;222</w:t>
      </w:r>
      <w:proofErr w:type="gramEnd"/>
      <w:r w:rsidRPr="00072FC9">
        <w:rPr>
          <w:rStyle w:val="docsum-journal-citation"/>
          <w:rFonts w:asciiTheme="minorHAnsi" w:hAnsiTheme="minorHAnsi" w:cstheme="minorHAnsi"/>
        </w:rPr>
        <w:t xml:space="preserve">(5):437-450. </w:t>
      </w:r>
      <w:proofErr w:type="spellStart"/>
      <w:proofErr w:type="gramStart"/>
      <w:r w:rsidRPr="00072FC9">
        <w:rPr>
          <w:rStyle w:val="docsum-journal-citation"/>
          <w:rFonts w:asciiTheme="minorHAnsi" w:hAnsiTheme="minorHAnsi" w:cstheme="minorHAnsi"/>
        </w:rPr>
        <w:t>doi</w:t>
      </w:r>
      <w:proofErr w:type="spellEnd"/>
      <w:proofErr w:type="gramEnd"/>
      <w:r w:rsidRPr="00072FC9">
        <w:rPr>
          <w:rStyle w:val="docsum-journal-citation"/>
          <w:rFonts w:asciiTheme="minorHAnsi" w:hAnsiTheme="minorHAnsi" w:cstheme="minorHAnsi"/>
        </w:rPr>
        <w:t>: 10.1016/j.ajog.2019.08.047.</w:t>
      </w:r>
    </w:p>
    <w:p w:rsidR="00072FC9" w:rsidRPr="00072FC9" w:rsidRDefault="00072FC9" w:rsidP="00072FC9">
      <w:pPr>
        <w:rPr>
          <w:rFonts w:asciiTheme="minorHAnsi" w:hAnsiTheme="minorHAnsi" w:cstheme="minorHAnsi"/>
        </w:rPr>
      </w:pPr>
    </w:p>
    <w:p w:rsidR="00072FC9" w:rsidRPr="00072FC9" w:rsidRDefault="00072FC9" w:rsidP="00072FC9">
      <w:pPr>
        <w:rPr>
          <w:rFonts w:asciiTheme="minorHAnsi" w:hAnsiTheme="minorHAnsi" w:cstheme="minorHAnsi"/>
        </w:rPr>
      </w:pPr>
      <w:r w:rsidRPr="00072FC9">
        <w:rPr>
          <w:rStyle w:val="docsum-authors"/>
          <w:rFonts w:asciiTheme="minorHAnsi" w:hAnsiTheme="minorHAnsi" w:cstheme="minorHAnsi"/>
        </w:rPr>
        <w:t xml:space="preserve">Webster K, </w:t>
      </w:r>
      <w:proofErr w:type="spellStart"/>
      <w:r w:rsidRPr="00072FC9">
        <w:rPr>
          <w:rStyle w:val="docsum-authors"/>
          <w:rFonts w:asciiTheme="minorHAnsi" w:hAnsiTheme="minorHAnsi" w:cstheme="minorHAnsi"/>
        </w:rPr>
        <w:t>Fishburn</w:t>
      </w:r>
      <w:proofErr w:type="spellEnd"/>
      <w:r w:rsidRPr="00072FC9">
        <w:rPr>
          <w:rStyle w:val="docsum-authors"/>
          <w:rFonts w:asciiTheme="minorHAnsi" w:hAnsiTheme="minorHAnsi" w:cstheme="minorHAnsi"/>
        </w:rPr>
        <w:t xml:space="preserve"> S, </w:t>
      </w:r>
      <w:proofErr w:type="spellStart"/>
      <w:r w:rsidRPr="00072FC9">
        <w:rPr>
          <w:rStyle w:val="docsum-authors"/>
          <w:rFonts w:asciiTheme="minorHAnsi" w:hAnsiTheme="minorHAnsi" w:cstheme="minorHAnsi"/>
        </w:rPr>
        <w:t>Maresh</w:t>
      </w:r>
      <w:proofErr w:type="spellEnd"/>
      <w:r w:rsidRPr="00072FC9">
        <w:rPr>
          <w:rStyle w:val="docsum-authors"/>
          <w:rFonts w:asciiTheme="minorHAnsi" w:hAnsiTheme="minorHAnsi" w:cstheme="minorHAnsi"/>
        </w:rPr>
        <w:t xml:space="preserve"> M, Findlay SC, Chappell LC; Guideline Committee. </w:t>
      </w:r>
      <w:hyperlink r:id="rId8" w:history="1">
        <w:r w:rsidRPr="00072FC9">
          <w:rPr>
            <w:rStyle w:val="Hyperlink"/>
            <w:rFonts w:asciiTheme="minorHAnsi" w:hAnsiTheme="minorHAnsi" w:cstheme="minorHAnsi"/>
            <w:color w:val="auto"/>
            <w:u w:val="none"/>
            <w:shd w:val="clear" w:color="auto" w:fill="FFFFFF"/>
          </w:rPr>
          <w:t>Diagnosis and management of hypertension in pregnancy: summary of updated NICE guidance.</w:t>
        </w:r>
      </w:hyperlink>
      <w:r w:rsidRPr="00072FC9">
        <w:rPr>
          <w:rFonts w:asciiTheme="minorHAnsi" w:hAnsiTheme="minorHAnsi" w:cstheme="minorHAnsi"/>
        </w:rPr>
        <w:t xml:space="preserve"> </w:t>
      </w:r>
      <w:r w:rsidRPr="00072FC9">
        <w:rPr>
          <w:rStyle w:val="docsum-journal-citation"/>
          <w:rFonts w:asciiTheme="minorHAnsi" w:hAnsiTheme="minorHAnsi" w:cstheme="minorHAnsi"/>
          <w:bCs/>
        </w:rPr>
        <w:t>BMJ</w:t>
      </w:r>
      <w:r w:rsidRPr="00072FC9">
        <w:rPr>
          <w:rStyle w:val="docsum-journal-citation"/>
          <w:rFonts w:asciiTheme="minorHAnsi" w:hAnsiTheme="minorHAnsi" w:cstheme="minorHAnsi"/>
        </w:rPr>
        <w:t>. 2019 Sep 9</w:t>
      </w:r>
      <w:proofErr w:type="gramStart"/>
      <w:r w:rsidRPr="00072FC9">
        <w:rPr>
          <w:rStyle w:val="docsum-journal-citation"/>
          <w:rFonts w:asciiTheme="minorHAnsi" w:hAnsiTheme="minorHAnsi" w:cstheme="minorHAnsi"/>
        </w:rPr>
        <w:t>;366:l5119</w:t>
      </w:r>
      <w:proofErr w:type="gramEnd"/>
      <w:r w:rsidRPr="00072FC9">
        <w:rPr>
          <w:rStyle w:val="docsum-journal-citation"/>
          <w:rFonts w:asciiTheme="minorHAnsi" w:hAnsiTheme="minorHAnsi" w:cstheme="minorHAnsi"/>
        </w:rPr>
        <w:t xml:space="preserve">. </w:t>
      </w:r>
      <w:proofErr w:type="spellStart"/>
      <w:proofErr w:type="gramStart"/>
      <w:r w:rsidRPr="00072FC9">
        <w:rPr>
          <w:rStyle w:val="docsum-journal-citation"/>
          <w:rFonts w:asciiTheme="minorHAnsi" w:hAnsiTheme="minorHAnsi" w:cstheme="minorHAnsi"/>
        </w:rPr>
        <w:t>doi</w:t>
      </w:r>
      <w:proofErr w:type="spellEnd"/>
      <w:proofErr w:type="gramEnd"/>
      <w:r w:rsidRPr="00072FC9">
        <w:rPr>
          <w:rStyle w:val="docsum-journal-citation"/>
          <w:rFonts w:asciiTheme="minorHAnsi" w:hAnsiTheme="minorHAnsi" w:cstheme="minorHAnsi"/>
        </w:rPr>
        <w:t>: 10.1136/bmj.l5119.</w:t>
      </w:r>
    </w:p>
    <w:p w:rsidR="00072FC9" w:rsidRPr="00072FC9" w:rsidRDefault="00072FC9" w:rsidP="00072FC9">
      <w:pPr>
        <w:rPr>
          <w:rFonts w:asciiTheme="minorHAnsi" w:hAnsiTheme="minorHAnsi" w:cstheme="minorHAnsi"/>
        </w:rPr>
      </w:pPr>
    </w:p>
    <w:p w:rsidR="001B44E7" w:rsidRPr="00072FC9" w:rsidRDefault="00072FC9" w:rsidP="00072FC9">
      <w:pPr>
        <w:rPr>
          <w:rFonts w:asciiTheme="minorHAnsi" w:hAnsiTheme="minorHAnsi" w:cstheme="minorHAnsi"/>
        </w:rPr>
      </w:pPr>
      <w:r w:rsidRPr="00072FC9">
        <w:rPr>
          <w:rStyle w:val="docsum-authors"/>
          <w:rFonts w:asciiTheme="minorHAnsi" w:hAnsiTheme="minorHAnsi" w:cstheme="minorHAnsi"/>
        </w:rPr>
        <w:t xml:space="preserve">Saving Babies’ Lives (version 2). NHS England. </w:t>
      </w:r>
      <w:hyperlink r:id="rId9" w:history="1">
        <w:r w:rsidRPr="00072FC9">
          <w:rPr>
            <w:rStyle w:val="Hyperlink"/>
            <w:rFonts w:asciiTheme="minorHAnsi" w:hAnsiTheme="minorHAnsi" w:cstheme="minorHAnsi"/>
            <w:color w:val="auto"/>
          </w:rPr>
          <w:t>https://www.england.nhs.uk/wp-content/uploads/2019/03/Saving-Babies-Lives-Care-Bundle-Version-Two-Updated-Final-Version.pdf</w:t>
        </w:r>
      </w:hyperlink>
    </w:p>
    <w:sectPr w:rsidR="001B44E7" w:rsidRPr="00072FC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FC9" w:rsidRDefault="00072FC9" w:rsidP="00072FC9">
      <w:r>
        <w:separator/>
      </w:r>
    </w:p>
  </w:endnote>
  <w:endnote w:type="continuationSeparator" w:id="0">
    <w:p w:rsidR="00072FC9" w:rsidRDefault="00072FC9" w:rsidP="0007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FC9" w:rsidRPr="00072FC9" w:rsidRDefault="00072FC9">
    <w:pPr>
      <w:pStyle w:val="Footer"/>
      <w:rPr>
        <w:sz w:val="18"/>
      </w:rPr>
    </w:pPr>
    <w:r>
      <w:rPr>
        <w:sz w:val="18"/>
      </w:rPr>
      <w:t>RECOVERY SA10 Justification of aspirin dose for pregnant women V1.0 2020-10-29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FC9" w:rsidRDefault="00072FC9" w:rsidP="00072FC9">
      <w:r>
        <w:separator/>
      </w:r>
    </w:p>
  </w:footnote>
  <w:footnote w:type="continuationSeparator" w:id="0">
    <w:p w:rsidR="00072FC9" w:rsidRDefault="00072FC9" w:rsidP="00072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FC9"/>
    <w:rsid w:val="00072FC9"/>
    <w:rsid w:val="0037060E"/>
    <w:rsid w:val="006B58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CDC6"/>
  <w15:chartTrackingRefBased/>
  <w15:docId w15:val="{79C60C8C-909E-4520-9B2B-A70EF63A4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C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2FC9"/>
    <w:rPr>
      <w:color w:val="0563C1"/>
      <w:u w:val="single"/>
    </w:rPr>
  </w:style>
  <w:style w:type="character" w:customStyle="1" w:styleId="docsum-authors">
    <w:name w:val="docsum-authors"/>
    <w:basedOn w:val="DefaultParagraphFont"/>
    <w:rsid w:val="00072FC9"/>
  </w:style>
  <w:style w:type="character" w:customStyle="1" w:styleId="docsum-journal-citation">
    <w:name w:val="docsum-journal-citation"/>
    <w:basedOn w:val="DefaultParagraphFont"/>
    <w:rsid w:val="00072FC9"/>
  </w:style>
  <w:style w:type="character" w:customStyle="1" w:styleId="citation-part">
    <w:name w:val="citation-part"/>
    <w:basedOn w:val="DefaultParagraphFont"/>
    <w:rsid w:val="00072FC9"/>
  </w:style>
  <w:style w:type="character" w:customStyle="1" w:styleId="docsum-pmid">
    <w:name w:val="docsum-pmid"/>
    <w:basedOn w:val="DefaultParagraphFont"/>
    <w:rsid w:val="00072FC9"/>
  </w:style>
  <w:style w:type="paragraph" w:styleId="Header">
    <w:name w:val="header"/>
    <w:basedOn w:val="Normal"/>
    <w:link w:val="HeaderChar"/>
    <w:uiPriority w:val="99"/>
    <w:unhideWhenUsed/>
    <w:rsid w:val="00072FC9"/>
    <w:pPr>
      <w:tabs>
        <w:tab w:val="center" w:pos="4513"/>
        <w:tab w:val="right" w:pos="9026"/>
      </w:tabs>
    </w:pPr>
  </w:style>
  <w:style w:type="character" w:customStyle="1" w:styleId="HeaderChar">
    <w:name w:val="Header Char"/>
    <w:basedOn w:val="DefaultParagraphFont"/>
    <w:link w:val="Header"/>
    <w:uiPriority w:val="99"/>
    <w:rsid w:val="00072FC9"/>
    <w:rPr>
      <w:rFonts w:ascii="Calibri" w:hAnsi="Calibri" w:cs="Calibri"/>
    </w:rPr>
  </w:style>
  <w:style w:type="paragraph" w:styleId="Footer">
    <w:name w:val="footer"/>
    <w:basedOn w:val="Normal"/>
    <w:link w:val="FooterChar"/>
    <w:uiPriority w:val="99"/>
    <w:unhideWhenUsed/>
    <w:rsid w:val="00072FC9"/>
    <w:pPr>
      <w:tabs>
        <w:tab w:val="center" w:pos="4513"/>
        <w:tab w:val="right" w:pos="9026"/>
      </w:tabs>
    </w:pPr>
  </w:style>
  <w:style w:type="character" w:customStyle="1" w:styleId="FooterChar">
    <w:name w:val="Footer Char"/>
    <w:basedOn w:val="DefaultParagraphFont"/>
    <w:link w:val="Footer"/>
    <w:uiPriority w:val="99"/>
    <w:rsid w:val="00072F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0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1501137/" TargetMode="External"/><Relationship Id="rId3" Type="http://schemas.openxmlformats.org/officeDocument/2006/relationships/webSettings" Target="webSettings.xml"/><Relationship Id="rId7" Type="http://schemas.openxmlformats.org/officeDocument/2006/relationships/hyperlink" Target="https://pubmed.ncbi.nlm.nih.gov/3149412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3168468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ur03.safelinks.protection.outlook.com/?url=https%3A%2F%2Fwww.england.nhs.uk%2Fwp-content%2Fuploads%2F2019%2F03%2FSaving-Babies-Lives-Care-Bundle-Version-Two-Updated-Final-Version.pdf&amp;data=04%7C01%7Clucy.chappell%40kcl.ac.uk%7Cc3114dc1566f47e150d308d87a5b1b09%7C8370cf1416f34c16b83c724071654356%7C0%7C0%7C637393879003602410%7CUnknown%7CTWFpbGZsb3d8eyJWIjoiMC4wLjAwMDAiLCJQIjoiV2luMzIiLCJBTiI6Ik1haWwiLCJXVCI6Mn0%3D%7C1000&amp;sdata=gp0%2B3Y79J5%2BAsDqifgVY%2By5poB7pA%2BXKacHxkRdL7DQ%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Haynes</dc:creator>
  <cp:keywords/>
  <dc:description/>
  <cp:lastModifiedBy>Richard Haynes</cp:lastModifiedBy>
  <cp:revision>1</cp:revision>
  <dcterms:created xsi:type="dcterms:W3CDTF">2020-10-29T13:43:00Z</dcterms:created>
  <dcterms:modified xsi:type="dcterms:W3CDTF">2020-10-29T13:45:00Z</dcterms:modified>
</cp:coreProperties>
</file>